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34" w:rsidRDefault="003F3834" w:rsidP="003F3834">
      <w:pPr>
        <w:widowControl/>
        <w:adjustRightInd w:val="0"/>
        <w:snapToGrid w:val="0"/>
        <w:ind w:firstLineChars="0" w:firstLine="0"/>
        <w:jc w:val="center"/>
        <w:rPr>
          <w:rFonts w:ascii="方正小标宋简体" w:eastAsia="方正小标宋简体"/>
          <w:sz w:val="44"/>
          <w:szCs w:val="44"/>
        </w:rPr>
      </w:pPr>
    </w:p>
    <w:p w:rsidR="003F3834" w:rsidRDefault="003F3834" w:rsidP="003F3834">
      <w:pPr>
        <w:widowControl/>
        <w:adjustRightInd w:val="0"/>
        <w:snapToGrid w:val="0"/>
        <w:spacing w:line="600" w:lineRule="exact"/>
        <w:ind w:firstLineChars="0" w:firstLine="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int="eastAsia"/>
          <w:sz w:val="44"/>
          <w:szCs w:val="44"/>
        </w:rPr>
        <w:t>《</w:t>
      </w:r>
      <w:r>
        <w:rPr>
          <w:rFonts w:ascii="方正小标宋简体" w:eastAsia="方正小标宋简体" w:hAnsi="方正小标宋简体" w:cs="方正小标宋简体" w:hint="eastAsia"/>
          <w:color w:val="000000" w:themeColor="text1"/>
          <w:sz w:val="44"/>
          <w:szCs w:val="44"/>
        </w:rPr>
        <w:t>杨凌示范区流动商贩临时摊群点</w:t>
      </w:r>
    </w:p>
    <w:p w:rsidR="003F3834" w:rsidRDefault="003F3834" w:rsidP="003F3834">
      <w:pPr>
        <w:widowControl/>
        <w:adjustRightInd w:val="0"/>
        <w:snapToGrid w:val="0"/>
        <w:spacing w:line="600" w:lineRule="exact"/>
        <w:ind w:firstLineChars="0" w:firstLine="0"/>
        <w:jc w:val="center"/>
      </w:pPr>
      <w:r>
        <w:rPr>
          <w:rFonts w:ascii="方正小标宋简体" w:eastAsia="方正小标宋简体" w:hAnsi="方正小标宋简体" w:cs="方正小标宋简体" w:hint="eastAsia"/>
          <w:color w:val="000000" w:themeColor="text1"/>
          <w:sz w:val="44"/>
          <w:szCs w:val="44"/>
        </w:rPr>
        <w:t>管理规定（试行）</w:t>
      </w:r>
      <w:r>
        <w:rPr>
          <w:rFonts w:ascii="方正小标宋简体" w:eastAsia="方正小标宋简体" w:hint="eastAsia"/>
          <w:sz w:val="44"/>
          <w:szCs w:val="44"/>
        </w:rPr>
        <w:t>》政策解读</w:t>
      </w:r>
    </w:p>
    <w:p w:rsidR="003F3834" w:rsidRDefault="003F3834" w:rsidP="003F3834">
      <w:pPr>
        <w:widowControl/>
        <w:adjustRightInd w:val="0"/>
        <w:snapToGrid w:val="0"/>
        <w:spacing w:line="600" w:lineRule="exact"/>
        <w:ind w:firstLine="640"/>
        <w:rPr>
          <w:rFonts w:ascii="黑体" w:eastAsia="黑体" w:hAnsi="黑体" w:cs="黑体"/>
          <w:szCs w:val="32"/>
        </w:rPr>
      </w:pPr>
    </w:p>
    <w:p w:rsidR="003F3834" w:rsidRDefault="003F3834" w:rsidP="003F3834">
      <w:pPr>
        <w:widowControl/>
        <w:adjustRightInd w:val="0"/>
        <w:snapToGrid w:val="0"/>
        <w:spacing w:line="600" w:lineRule="exact"/>
        <w:ind w:firstLine="640"/>
        <w:rPr>
          <w:rFonts w:ascii="黑体" w:eastAsia="黑体" w:hAnsi="黑体" w:cs="黑体"/>
          <w:szCs w:val="32"/>
        </w:rPr>
      </w:pPr>
      <w:r>
        <w:rPr>
          <w:rFonts w:ascii="黑体" w:eastAsia="黑体" w:hAnsi="黑体" w:cs="黑体" w:hint="eastAsia"/>
          <w:szCs w:val="32"/>
        </w:rPr>
        <w:t>一、制定的必要性</w:t>
      </w:r>
    </w:p>
    <w:p w:rsidR="003F3834" w:rsidRDefault="003F3834" w:rsidP="003F3834">
      <w:pPr>
        <w:widowControl/>
        <w:adjustRightInd w:val="0"/>
        <w:snapToGrid w:val="0"/>
        <w:spacing w:line="600" w:lineRule="exact"/>
        <w:ind w:firstLine="640"/>
        <w:rPr>
          <w:rFonts w:hAnsi="仿宋_GB2312" w:cs="仿宋_GB2312"/>
          <w:szCs w:val="32"/>
        </w:rPr>
      </w:pPr>
      <w:r>
        <w:rPr>
          <w:rFonts w:hAnsi="仿宋_GB2312" w:cs="仿宋_GB2312" w:hint="eastAsia"/>
          <w:color w:val="000000" w:themeColor="text1"/>
          <w:szCs w:val="32"/>
        </w:rPr>
        <w:t>为进一步深化城市治理工作，维护城市形象，便利群众生活</w:t>
      </w:r>
      <w:r>
        <w:rPr>
          <w:rFonts w:hAnsi="仿宋_GB2312" w:cs="仿宋_GB2312" w:hint="eastAsia"/>
          <w:szCs w:val="32"/>
        </w:rPr>
        <w:t>，根据有关法律、行政法规，结合杨凌实际，示范区出台了《杨凌示范区流动商贩临时摊群点管理规定（试行）》。</w:t>
      </w:r>
    </w:p>
    <w:p w:rsidR="003F3834" w:rsidRDefault="003F3834" w:rsidP="003F3834">
      <w:pPr>
        <w:widowControl/>
        <w:adjustRightInd w:val="0"/>
        <w:snapToGrid w:val="0"/>
        <w:spacing w:line="600" w:lineRule="exact"/>
        <w:ind w:firstLine="640"/>
        <w:rPr>
          <w:rFonts w:hAnsi="仿宋_GB2312" w:cs="仿宋_GB2312"/>
          <w:szCs w:val="32"/>
        </w:rPr>
      </w:pPr>
      <w:r>
        <w:rPr>
          <w:rFonts w:hAnsi="仿宋_GB2312" w:cs="仿宋_GB2312" w:hint="eastAsia"/>
          <w:szCs w:val="32"/>
        </w:rPr>
        <w:t>流动商贩，一直是城市管理的重点和难点。长期以来，城管部门“从严管理、疏堵结合”，设置、建设了一批临时便民市场，如原田园居便民市场、现存的树木园临时便民市场等，为解决流动商贩占道经营、部分商贩就业问题、群众买菜等生活需求发挥了重要作用。然而，示范区临时便民市场设置、建设、管理至今没有相关规范作为指引，导致临时便民市场设置、建设、管理过程中，出现了许多现实问题，急需加以解决。流动商贩占道经营，也成为城市管理的一个行业乱象。为建立临时便民市场设置、建设、管理长效机制，规范临时便民市场设置、建设、管理行为，更好服务和保障民生，助推国家园林城市创建、无黑无恶示范区创建及省级文明城市创建，示范区在学习西安市临时摊群点设置管理的基础上，结合杨凌实际，出台了《杨凌示范区流动商贩临时摊群点管理规定（试行）》。</w:t>
      </w:r>
    </w:p>
    <w:p w:rsidR="003F3834" w:rsidRDefault="003F3834" w:rsidP="003F3834">
      <w:pPr>
        <w:widowControl/>
        <w:numPr>
          <w:ilvl w:val="0"/>
          <w:numId w:val="1"/>
        </w:numPr>
        <w:adjustRightInd w:val="0"/>
        <w:snapToGrid w:val="0"/>
        <w:spacing w:line="600" w:lineRule="exact"/>
        <w:ind w:firstLine="640"/>
        <w:rPr>
          <w:rFonts w:ascii="黑体" w:eastAsia="黑体" w:hAnsi="黑体" w:cs="黑体"/>
          <w:szCs w:val="32"/>
        </w:rPr>
      </w:pPr>
      <w:r>
        <w:rPr>
          <w:rFonts w:ascii="黑体" w:eastAsia="黑体" w:hAnsi="黑体" w:cs="黑体" w:hint="eastAsia"/>
          <w:szCs w:val="32"/>
        </w:rPr>
        <w:lastRenderedPageBreak/>
        <w:t>编制的主要依据</w:t>
      </w:r>
    </w:p>
    <w:p w:rsidR="003F3834" w:rsidRDefault="003F3834" w:rsidP="003F3834">
      <w:pPr>
        <w:widowControl/>
        <w:adjustRightInd w:val="0"/>
        <w:snapToGrid w:val="0"/>
        <w:spacing w:line="600" w:lineRule="exact"/>
        <w:ind w:left="640" w:firstLineChars="0" w:firstLine="0"/>
        <w:rPr>
          <w:rFonts w:hAnsi="仿宋_GB2312" w:cs="仿宋_GB2312"/>
          <w:szCs w:val="32"/>
        </w:rPr>
      </w:pPr>
      <w:r>
        <w:rPr>
          <w:rFonts w:hAnsi="仿宋_GB2312" w:cs="仿宋_GB2312" w:hint="eastAsia"/>
          <w:szCs w:val="32"/>
        </w:rPr>
        <w:t>1.《中华人民共和国食品安全法》；</w:t>
      </w:r>
    </w:p>
    <w:p w:rsidR="003F3834" w:rsidRDefault="003F3834" w:rsidP="003F3834">
      <w:pPr>
        <w:widowControl/>
        <w:adjustRightInd w:val="0"/>
        <w:snapToGrid w:val="0"/>
        <w:spacing w:line="600" w:lineRule="exact"/>
        <w:ind w:left="640" w:firstLineChars="0" w:firstLine="0"/>
        <w:rPr>
          <w:rFonts w:hAnsi="仿宋_GB2312" w:cs="仿宋_GB2312"/>
          <w:szCs w:val="32"/>
        </w:rPr>
      </w:pPr>
      <w:r>
        <w:rPr>
          <w:rFonts w:hAnsi="仿宋_GB2312" w:cs="仿宋_GB2312" w:hint="eastAsia"/>
          <w:szCs w:val="32"/>
        </w:rPr>
        <w:t>2.《陕西省城市市容环境卫生条例》；</w:t>
      </w:r>
    </w:p>
    <w:p w:rsidR="003F3834" w:rsidRDefault="003F3834" w:rsidP="003F3834">
      <w:pPr>
        <w:widowControl/>
        <w:adjustRightInd w:val="0"/>
        <w:snapToGrid w:val="0"/>
        <w:spacing w:line="600" w:lineRule="exact"/>
        <w:ind w:left="640" w:firstLineChars="0" w:firstLine="0"/>
        <w:rPr>
          <w:rFonts w:hAnsi="仿宋_GB2312" w:cs="仿宋_GB2312"/>
          <w:szCs w:val="32"/>
        </w:rPr>
      </w:pPr>
      <w:r>
        <w:rPr>
          <w:rFonts w:hAnsi="仿宋_GB2312" w:cs="仿宋_GB2312" w:hint="eastAsia"/>
          <w:szCs w:val="32"/>
        </w:rPr>
        <w:t>3.《陕西省食品小作坊小餐饮及摊贩管理条例》；</w:t>
      </w:r>
    </w:p>
    <w:p w:rsidR="003F3834" w:rsidRDefault="003F3834" w:rsidP="003F3834">
      <w:pPr>
        <w:widowControl/>
        <w:adjustRightInd w:val="0"/>
        <w:snapToGrid w:val="0"/>
        <w:spacing w:line="600" w:lineRule="exact"/>
        <w:ind w:left="640" w:firstLineChars="0" w:firstLine="0"/>
        <w:rPr>
          <w:rFonts w:hAnsi="仿宋_GB2312" w:cs="仿宋_GB2312"/>
          <w:szCs w:val="32"/>
        </w:rPr>
      </w:pPr>
      <w:r>
        <w:rPr>
          <w:rFonts w:hAnsi="仿宋_GB2312" w:cs="仿宋_GB2312" w:hint="eastAsia"/>
          <w:szCs w:val="32"/>
        </w:rPr>
        <w:t>4.《陕西省城市公共空间管理条例》；</w:t>
      </w:r>
    </w:p>
    <w:p w:rsidR="003F3834" w:rsidRDefault="003F3834" w:rsidP="003F3834">
      <w:pPr>
        <w:widowControl/>
        <w:adjustRightInd w:val="0"/>
        <w:snapToGrid w:val="0"/>
        <w:spacing w:line="600" w:lineRule="exact"/>
        <w:ind w:left="640" w:firstLineChars="0" w:firstLine="0"/>
        <w:rPr>
          <w:rFonts w:hAnsi="仿宋_GB2312" w:cs="仿宋_GB2312"/>
          <w:szCs w:val="32"/>
        </w:rPr>
      </w:pPr>
      <w:r>
        <w:rPr>
          <w:rFonts w:hAnsi="仿宋_GB2312" w:cs="仿宋_GB2312" w:hint="eastAsia"/>
          <w:szCs w:val="32"/>
        </w:rPr>
        <w:t>5.《杨凌示范区城市市容环境卫生管理实施办法》。</w:t>
      </w:r>
    </w:p>
    <w:p w:rsidR="003F3834" w:rsidRPr="006426E7" w:rsidRDefault="003F3834" w:rsidP="003F3834">
      <w:pPr>
        <w:widowControl/>
        <w:adjustRightInd w:val="0"/>
        <w:snapToGrid w:val="0"/>
        <w:spacing w:line="600" w:lineRule="exact"/>
        <w:ind w:firstLine="640"/>
        <w:rPr>
          <w:rFonts w:ascii="黑体" w:eastAsia="黑体" w:hAnsi="黑体" w:cs="黑体"/>
          <w:szCs w:val="32"/>
        </w:rPr>
      </w:pPr>
      <w:r>
        <w:rPr>
          <w:rFonts w:ascii="黑体" w:eastAsia="黑体" w:hAnsi="黑体" w:cs="黑体" w:hint="eastAsia"/>
          <w:szCs w:val="32"/>
        </w:rPr>
        <w:t>三、规定的</w:t>
      </w:r>
      <w:r w:rsidRPr="006426E7">
        <w:rPr>
          <w:rFonts w:ascii="黑体" w:eastAsia="黑体" w:hAnsi="黑体" w:cs="黑体" w:hint="eastAsia"/>
          <w:szCs w:val="32"/>
        </w:rPr>
        <w:t>主要</w:t>
      </w:r>
      <w:r>
        <w:rPr>
          <w:rFonts w:ascii="黑体" w:eastAsia="黑体" w:hAnsi="黑体" w:cs="黑体" w:hint="eastAsia"/>
          <w:szCs w:val="32"/>
        </w:rPr>
        <w:t>内容</w:t>
      </w:r>
    </w:p>
    <w:p w:rsidR="003F3834" w:rsidRDefault="003F3834" w:rsidP="003F3834">
      <w:pPr>
        <w:widowControl/>
        <w:adjustRightInd w:val="0"/>
        <w:snapToGrid w:val="0"/>
        <w:spacing w:line="600" w:lineRule="exact"/>
        <w:ind w:firstLine="640"/>
        <w:rPr>
          <w:rFonts w:hAnsi="黑体" w:cs="黑体"/>
          <w:szCs w:val="32"/>
        </w:rPr>
      </w:pPr>
      <w:r>
        <w:rPr>
          <w:rFonts w:hAnsi="黑体" w:cs="黑体" w:hint="eastAsia"/>
          <w:szCs w:val="32"/>
        </w:rPr>
        <w:t>本规定共19条内容。</w:t>
      </w:r>
    </w:p>
    <w:p w:rsidR="003F3834" w:rsidRPr="00EC1947" w:rsidRDefault="003F3834" w:rsidP="003F3834">
      <w:pPr>
        <w:widowControl/>
        <w:adjustRightInd w:val="0"/>
        <w:snapToGrid w:val="0"/>
        <w:spacing w:line="600" w:lineRule="exact"/>
        <w:ind w:firstLine="640"/>
        <w:rPr>
          <w:rFonts w:hAnsi="仿宋_GB2312" w:cs="仿宋_GB2312"/>
          <w:szCs w:val="32"/>
        </w:rPr>
      </w:pPr>
      <w:r w:rsidRPr="00EC1947">
        <w:rPr>
          <w:rFonts w:hAnsi="黑体" w:cs="黑体" w:hint="eastAsia"/>
          <w:szCs w:val="32"/>
        </w:rPr>
        <w:t>第一条</w:t>
      </w:r>
      <w:r>
        <w:rPr>
          <w:rFonts w:hAnsi="黑体" w:cs="黑体" w:hint="eastAsia"/>
          <w:szCs w:val="32"/>
        </w:rPr>
        <w:t>至第三条</w:t>
      </w:r>
      <w:r w:rsidRPr="00EC1947">
        <w:rPr>
          <w:rFonts w:hAnsi="黑体" w:cs="黑体" w:hint="eastAsia"/>
          <w:szCs w:val="32"/>
        </w:rPr>
        <w:t>，主要明确了出台</w:t>
      </w:r>
      <w:r>
        <w:rPr>
          <w:rFonts w:hAnsi="黑体" w:cs="黑体" w:hint="eastAsia"/>
          <w:szCs w:val="32"/>
        </w:rPr>
        <w:t>规定</w:t>
      </w:r>
      <w:r w:rsidRPr="00EC1947">
        <w:rPr>
          <w:rFonts w:hAnsi="黑体" w:cs="黑体" w:hint="eastAsia"/>
          <w:szCs w:val="32"/>
        </w:rPr>
        <w:t>的目的和依据、适用范围</w:t>
      </w:r>
      <w:r>
        <w:rPr>
          <w:rFonts w:hAnsi="黑体" w:cs="黑体" w:hint="eastAsia"/>
          <w:szCs w:val="32"/>
        </w:rPr>
        <w:t>，以及</w:t>
      </w:r>
      <w:r>
        <w:rPr>
          <w:rFonts w:hAnsi="仿宋_GB2312" w:cs="仿宋_GB2312" w:hint="eastAsia"/>
          <w:color w:val="000000"/>
          <w:szCs w:val="32"/>
        </w:rPr>
        <w:t>流动商贩临时摊群点的定义</w:t>
      </w:r>
      <w:r w:rsidRPr="00EC1947">
        <w:rPr>
          <w:rFonts w:hAnsi="黑体" w:cs="黑体" w:hint="eastAsia"/>
          <w:szCs w:val="32"/>
        </w:rPr>
        <w:t>。</w:t>
      </w:r>
    </w:p>
    <w:p w:rsidR="003F3834" w:rsidRDefault="003F3834" w:rsidP="003F3834">
      <w:pPr>
        <w:ind w:firstLine="640"/>
        <w:rPr>
          <w:rFonts w:hAnsi="仿宋_GB2312" w:cs="仿宋_GB2312"/>
          <w:color w:val="000000"/>
          <w:szCs w:val="32"/>
        </w:rPr>
      </w:pPr>
      <w:r w:rsidRPr="00EC1947">
        <w:rPr>
          <w:rFonts w:hAnsi="黑体" w:cs="黑体" w:hint="eastAsia"/>
          <w:szCs w:val="32"/>
        </w:rPr>
        <w:t>第</w:t>
      </w:r>
      <w:r>
        <w:rPr>
          <w:rFonts w:hAnsi="黑体" w:cs="黑体" w:hint="eastAsia"/>
          <w:szCs w:val="32"/>
        </w:rPr>
        <w:t>四</w:t>
      </w:r>
      <w:r w:rsidRPr="00EC1947">
        <w:rPr>
          <w:rFonts w:hAnsi="黑体" w:cs="黑体" w:hint="eastAsia"/>
          <w:szCs w:val="32"/>
        </w:rPr>
        <w:t>条</w:t>
      </w:r>
      <w:r>
        <w:rPr>
          <w:rFonts w:hAnsi="黑体" w:cs="黑体" w:hint="eastAsia"/>
          <w:szCs w:val="32"/>
        </w:rPr>
        <w:t>、第六条</w:t>
      </w:r>
      <w:r w:rsidRPr="00EC1947">
        <w:rPr>
          <w:rFonts w:hAnsi="黑体" w:cs="黑体" w:hint="eastAsia"/>
          <w:szCs w:val="32"/>
        </w:rPr>
        <w:t>，主要明确了</w:t>
      </w:r>
      <w:r>
        <w:rPr>
          <w:rFonts w:hAnsi="仿宋_GB2312" w:cs="仿宋_GB2312" w:hint="eastAsia"/>
          <w:color w:val="000000"/>
          <w:szCs w:val="32"/>
        </w:rPr>
        <w:t>临时便民市场设置和管理的主要原则，第五条</w:t>
      </w:r>
      <w:r w:rsidRPr="00EC1947">
        <w:rPr>
          <w:rFonts w:hAnsi="黑体" w:cs="黑体" w:hint="eastAsia"/>
          <w:szCs w:val="32"/>
        </w:rPr>
        <w:t>主要明确了</w:t>
      </w:r>
      <w:r>
        <w:rPr>
          <w:rFonts w:hAnsi="仿宋_GB2312" w:cs="仿宋_GB2312" w:hint="eastAsia"/>
          <w:color w:val="000000"/>
          <w:szCs w:val="32"/>
        </w:rPr>
        <w:t>各职能部门的监管责任。</w:t>
      </w:r>
    </w:p>
    <w:p w:rsidR="003F3834" w:rsidRDefault="003F3834" w:rsidP="003F3834">
      <w:pPr>
        <w:ind w:leftChars="200" w:left="640" w:firstLineChars="0" w:firstLine="0"/>
        <w:rPr>
          <w:rFonts w:hAnsi="仿宋_GB2312" w:cs="仿宋_GB2312"/>
          <w:color w:val="000000"/>
          <w:szCs w:val="32"/>
        </w:rPr>
      </w:pPr>
      <w:r w:rsidRPr="00EC1947">
        <w:rPr>
          <w:rFonts w:hint="eastAsia"/>
          <w:szCs w:val="32"/>
        </w:rPr>
        <w:t>第七条</w:t>
      </w:r>
      <w:r w:rsidRPr="00EC1947">
        <w:rPr>
          <w:rFonts w:hAnsi="黑体" w:cs="黑体" w:hint="eastAsia"/>
          <w:szCs w:val="32"/>
        </w:rPr>
        <w:t>主要明确了</w:t>
      </w:r>
      <w:r>
        <w:rPr>
          <w:rFonts w:hAnsi="仿宋_GB2312" w:cs="仿宋_GB2312" w:hint="eastAsia"/>
          <w:color w:val="000000"/>
          <w:szCs w:val="32"/>
        </w:rPr>
        <w:t>临时便民市场的性质及设置的资金来源。</w:t>
      </w:r>
    </w:p>
    <w:p w:rsidR="003F3834" w:rsidRDefault="003F3834" w:rsidP="003F3834">
      <w:pPr>
        <w:ind w:firstLine="640"/>
        <w:rPr>
          <w:rFonts w:hAnsi="仿宋_GB2312" w:cs="仿宋_GB2312"/>
          <w:color w:val="000000"/>
          <w:szCs w:val="32"/>
        </w:rPr>
      </w:pPr>
      <w:r w:rsidRPr="00EC1947">
        <w:rPr>
          <w:rFonts w:hint="eastAsia"/>
          <w:szCs w:val="32"/>
        </w:rPr>
        <w:t>第</w:t>
      </w:r>
      <w:r>
        <w:rPr>
          <w:rFonts w:hint="eastAsia"/>
          <w:szCs w:val="32"/>
        </w:rPr>
        <w:t>八</w:t>
      </w:r>
      <w:r w:rsidRPr="00EC1947">
        <w:rPr>
          <w:rFonts w:hint="eastAsia"/>
          <w:szCs w:val="32"/>
        </w:rPr>
        <w:t>条至第</w:t>
      </w:r>
      <w:r>
        <w:rPr>
          <w:rFonts w:hint="eastAsia"/>
          <w:szCs w:val="32"/>
        </w:rPr>
        <w:t>十</w:t>
      </w:r>
      <w:r w:rsidRPr="00EC1947">
        <w:rPr>
          <w:rFonts w:hint="eastAsia"/>
          <w:szCs w:val="32"/>
        </w:rPr>
        <w:t>三条，主要明确了</w:t>
      </w:r>
      <w:r>
        <w:rPr>
          <w:rFonts w:hAnsi="仿宋_GB2312" w:cs="仿宋_GB2312" w:hint="eastAsia"/>
          <w:color w:val="000000" w:themeColor="text1"/>
          <w:szCs w:val="32"/>
        </w:rPr>
        <w:t>临时便民市场设置的主要程序、市场配套、对外公示、市场类别、经营种类、经营时间、商贩入驻、摊位分配、</w:t>
      </w:r>
      <w:r>
        <w:rPr>
          <w:rFonts w:hAnsi="仿宋_GB2312" w:cs="仿宋_GB2312" w:hint="eastAsia"/>
          <w:color w:val="000000"/>
          <w:szCs w:val="32"/>
        </w:rPr>
        <w:t>运营管理等。</w:t>
      </w:r>
    </w:p>
    <w:p w:rsidR="003F3834" w:rsidRDefault="003F3834" w:rsidP="003F3834">
      <w:pPr>
        <w:ind w:firstLine="640"/>
        <w:rPr>
          <w:rFonts w:hAnsi="仿宋_GB2312" w:cs="仿宋_GB2312"/>
          <w:color w:val="000000"/>
          <w:szCs w:val="32"/>
        </w:rPr>
      </w:pPr>
      <w:r w:rsidRPr="007074FF">
        <w:rPr>
          <w:rFonts w:hint="eastAsia"/>
        </w:rPr>
        <w:t>第十四条</w:t>
      </w:r>
      <w:r>
        <w:rPr>
          <w:rFonts w:hint="eastAsia"/>
        </w:rPr>
        <w:t>至第十六条，主要明确了</w:t>
      </w:r>
      <w:r>
        <w:rPr>
          <w:rFonts w:hAnsi="仿宋_GB2312" w:cs="仿宋_GB2312" w:hint="eastAsia"/>
          <w:color w:val="000000"/>
          <w:szCs w:val="32"/>
        </w:rPr>
        <w:t>临时便民市场经营者应当遵守的经营、管理规定。</w:t>
      </w:r>
    </w:p>
    <w:p w:rsidR="003F3834" w:rsidRDefault="003F3834" w:rsidP="003F3834">
      <w:pPr>
        <w:ind w:firstLine="640"/>
        <w:rPr>
          <w:rFonts w:hAnsi="仿宋_GB2312" w:cs="仿宋_GB2312"/>
          <w:color w:val="000000"/>
          <w:szCs w:val="32"/>
        </w:rPr>
      </w:pPr>
      <w:r>
        <w:rPr>
          <w:rFonts w:hAnsi="仿宋_GB2312" w:cs="仿宋_GB2312" w:hint="eastAsia"/>
          <w:color w:val="000000"/>
          <w:szCs w:val="32"/>
        </w:rPr>
        <w:t>第十七条主要明确了临时便民市场退出（撤销）的相关规定。</w:t>
      </w:r>
    </w:p>
    <w:p w:rsidR="003F3834" w:rsidRDefault="003F3834" w:rsidP="003F3834">
      <w:pPr>
        <w:ind w:firstLine="640"/>
        <w:rPr>
          <w:rFonts w:hAnsi="仿宋_GB2312" w:cs="仿宋_GB2312"/>
          <w:color w:val="000000"/>
          <w:szCs w:val="32"/>
        </w:rPr>
      </w:pPr>
      <w:r>
        <w:rPr>
          <w:rFonts w:hAnsi="仿宋_GB2312" w:cs="仿宋_GB2312" w:hint="eastAsia"/>
          <w:color w:val="000000"/>
          <w:szCs w:val="32"/>
        </w:rPr>
        <w:t>第十八条主要明确了临时便民市场经营者违反市场管理制度、违法违规经营需要承担的后果及法律责任，以及公职人员违规违纪行为需要承担的法律后果。</w:t>
      </w:r>
    </w:p>
    <w:p w:rsidR="003F3834" w:rsidRDefault="003F3834" w:rsidP="003F3834">
      <w:pPr>
        <w:ind w:firstLine="640"/>
        <w:rPr>
          <w:rFonts w:hAnsi="仿宋_GB2312" w:cs="仿宋_GB2312"/>
          <w:color w:val="000000"/>
          <w:szCs w:val="32"/>
        </w:rPr>
      </w:pPr>
      <w:r>
        <w:rPr>
          <w:rFonts w:hAnsi="仿宋_GB2312" w:cs="仿宋_GB2312" w:hint="eastAsia"/>
          <w:color w:val="000000"/>
          <w:szCs w:val="32"/>
        </w:rPr>
        <w:lastRenderedPageBreak/>
        <w:t>第十九条主要明确了本规定开始施行时间及试行时限。</w:t>
      </w:r>
    </w:p>
    <w:p w:rsidR="003F3834" w:rsidRDefault="003F3834" w:rsidP="003F3834">
      <w:pPr>
        <w:widowControl/>
        <w:adjustRightInd w:val="0"/>
        <w:snapToGrid w:val="0"/>
        <w:spacing w:line="600" w:lineRule="exact"/>
        <w:ind w:firstLine="640"/>
        <w:rPr>
          <w:rFonts w:ascii="黑体" w:eastAsia="黑体" w:hAnsi="黑体" w:cs="黑体"/>
          <w:szCs w:val="32"/>
        </w:rPr>
      </w:pPr>
      <w:r w:rsidRPr="00896BC4">
        <w:rPr>
          <w:rFonts w:ascii="黑体" w:eastAsia="黑体" w:hAnsi="黑体" w:hint="eastAsia"/>
        </w:rPr>
        <w:t>四、</w:t>
      </w:r>
      <w:r w:rsidRPr="00896BC4">
        <w:rPr>
          <w:rFonts w:ascii="黑体" w:eastAsia="黑体" w:hAnsi="黑体" w:cs="黑体" w:hint="eastAsia"/>
          <w:szCs w:val="32"/>
        </w:rPr>
        <w:t>本规定</w:t>
      </w:r>
      <w:r>
        <w:rPr>
          <w:rFonts w:ascii="黑体" w:eastAsia="黑体" w:hAnsi="黑体" w:cs="黑体" w:hint="eastAsia"/>
          <w:szCs w:val="32"/>
        </w:rPr>
        <w:t>的出台</w:t>
      </w:r>
      <w:r w:rsidRPr="00896BC4">
        <w:rPr>
          <w:rFonts w:ascii="黑体" w:eastAsia="黑体" w:hAnsi="黑体" w:cs="黑体" w:hint="eastAsia"/>
          <w:szCs w:val="32"/>
        </w:rPr>
        <w:t>主要有哪些</w:t>
      </w:r>
      <w:r>
        <w:rPr>
          <w:rFonts w:ascii="黑体" w:eastAsia="黑体" w:hAnsi="黑体" w:cs="黑体" w:hint="eastAsia"/>
          <w:szCs w:val="32"/>
        </w:rPr>
        <w:t>积极作用</w:t>
      </w:r>
    </w:p>
    <w:p w:rsidR="003F3834" w:rsidRDefault="003F3834" w:rsidP="003F3834">
      <w:pPr>
        <w:spacing w:line="600" w:lineRule="exact"/>
        <w:ind w:firstLine="640"/>
      </w:pPr>
      <w:r>
        <w:rPr>
          <w:rFonts w:hint="eastAsia"/>
        </w:rPr>
        <w:t>一是明确了临时便民市场</w:t>
      </w:r>
      <w:r w:rsidRPr="00FE0BCF">
        <w:rPr>
          <w:rFonts w:hint="eastAsia"/>
        </w:rPr>
        <w:t>设置和管理</w:t>
      </w:r>
      <w:r>
        <w:rPr>
          <w:rFonts w:hint="eastAsia"/>
        </w:rPr>
        <w:t>的主要原则。第四条 规定，临时便民市场设置和管理应遵循“管理规范、方便群众、疏堵结合、城市有序、繁荣市场”的原则。第六条规定，</w:t>
      </w:r>
      <w:r w:rsidRPr="008A0244">
        <w:rPr>
          <w:rFonts w:hint="eastAsia"/>
        </w:rPr>
        <w:t>严禁区禁止设置临时便民市场</w:t>
      </w:r>
      <w:r>
        <w:rPr>
          <w:rFonts w:hint="eastAsia"/>
        </w:rPr>
        <w:t>；严控区设置临时便民市场应当以充分利用待建空地、闲置厂房、断头路等空闲场地设置为主，原则上不在城市道路人行道上设置；疏导区内城市道路人行道设置临时便民市场，应符合本规定和城市环境容貌秩序管理标准，不堵塞交通，不占压盲道、消防通道，不影响周边群众正常工作和休息。</w:t>
      </w:r>
    </w:p>
    <w:p w:rsidR="003F3834" w:rsidRPr="00A97A4B" w:rsidRDefault="003F3834" w:rsidP="003F3834">
      <w:pPr>
        <w:spacing w:line="600" w:lineRule="exact"/>
        <w:ind w:firstLine="640"/>
      </w:pPr>
      <w:r>
        <w:rPr>
          <w:rFonts w:hint="eastAsia"/>
        </w:rPr>
        <w:t>二是明确了相关职能部门的管理职责。第五条规定，</w:t>
      </w:r>
      <w:r>
        <w:rPr>
          <w:rFonts w:hAnsi="仿宋_GB2312" w:cs="仿宋_GB2312" w:hint="eastAsia"/>
          <w:color w:val="000000"/>
          <w:szCs w:val="32"/>
        </w:rPr>
        <w:t>城市管理部门是临时便民市场设置的行政主管部门，主要负责临时便民市场选址、建设、服务及日常监管工作；市场监管部门是临时便民市场食品安全的行政主管部门，主要负责对划定区域内食品摊贩的食品安全、经营行为进行监督管理；公安、生态、卫生、应急等相关部门应当按照各自职责，做好临时便民市场的监管工作；杨陵区政府应当按照属地管理原则，配合各职能部门做好临时便民市场选址、设置、管理等相关工作。</w:t>
      </w:r>
    </w:p>
    <w:p w:rsidR="003F3834" w:rsidRPr="003F3834" w:rsidRDefault="003F3834" w:rsidP="003F3834">
      <w:pPr>
        <w:spacing w:line="600" w:lineRule="exact"/>
        <w:ind w:firstLine="640"/>
      </w:pPr>
      <w:r>
        <w:rPr>
          <w:rFonts w:hAnsi="仿宋_GB2312" w:cs="仿宋_GB2312" w:hint="eastAsia"/>
          <w:color w:val="000000" w:themeColor="text1"/>
          <w:szCs w:val="32"/>
        </w:rPr>
        <w:t>三</w:t>
      </w:r>
      <w:r w:rsidRPr="00A205D4">
        <w:rPr>
          <w:rFonts w:hAnsi="仿宋_GB2312" w:cs="仿宋_GB2312" w:hint="eastAsia"/>
          <w:color w:val="000000" w:themeColor="text1"/>
          <w:szCs w:val="32"/>
        </w:rPr>
        <w:t>是</w:t>
      </w:r>
      <w:r>
        <w:rPr>
          <w:rFonts w:hAnsi="仿宋_GB2312" w:cs="仿宋_GB2312" w:hint="eastAsia"/>
          <w:color w:val="000000" w:themeColor="text1"/>
          <w:szCs w:val="32"/>
        </w:rPr>
        <w:t>明确了</w:t>
      </w:r>
      <w:r>
        <w:rPr>
          <w:rFonts w:hint="eastAsia"/>
        </w:rPr>
        <w:t>临时便民市场</w:t>
      </w:r>
      <w:r w:rsidRPr="00FE0BCF">
        <w:rPr>
          <w:rFonts w:hint="eastAsia"/>
        </w:rPr>
        <w:t>设置</w:t>
      </w:r>
      <w:r>
        <w:rPr>
          <w:rFonts w:hint="eastAsia"/>
        </w:rPr>
        <w:t>的资金来源及主要程序。第七条规定，临时便民市场为公益性城市公共配套设施，所需建设资金按照示范区、杨陵区城市管理管辖区域划分，分别由示范区、</w:t>
      </w:r>
      <w:r>
        <w:rPr>
          <w:rFonts w:hint="eastAsia"/>
        </w:rPr>
        <w:lastRenderedPageBreak/>
        <w:t>杨陵区两级财政部门予以保障。第八条规定，城市管理部门设置临时便民市场，应当充分听取拟设置区域周边居民、群众、摊贩代表意见建议后，提出临时便民市场具体设置意见，按照其位置所处的新老城区城市管理管辖区域，分别报示范区管委会、杨陵区政府审定。</w:t>
      </w:r>
      <w:r w:rsidRPr="00A205D4">
        <w:rPr>
          <w:rFonts w:hAnsi="仿宋_GB2312" w:cs="仿宋_GB2312" w:hint="eastAsia"/>
          <w:color w:val="000000" w:themeColor="text1"/>
          <w:szCs w:val="32"/>
        </w:rPr>
        <w:t>鼓励企业和个人利用自有场地或租赁场地建设临时便民市场及相关配套设施，引导流动商贩进场入室经营。</w:t>
      </w:r>
    </w:p>
    <w:p w:rsidR="003F3834" w:rsidRPr="003F3834" w:rsidRDefault="003F3834" w:rsidP="003F3834">
      <w:pPr>
        <w:spacing w:line="600" w:lineRule="exact"/>
        <w:ind w:firstLine="640"/>
        <w:rPr>
          <w:rFonts w:hAnsi="仿宋_GB2312" w:cs="仿宋_GB2312" w:hint="eastAsia"/>
          <w:color w:val="000000"/>
          <w:szCs w:val="32"/>
        </w:rPr>
      </w:pPr>
      <w:r>
        <w:rPr>
          <w:rFonts w:hAnsi="仿宋_GB2312" w:cs="仿宋_GB2312" w:hint="eastAsia"/>
          <w:color w:val="000000" w:themeColor="text1"/>
          <w:szCs w:val="32"/>
        </w:rPr>
        <w:t>四是</w:t>
      </w:r>
      <w:r>
        <w:rPr>
          <w:rFonts w:hAnsi="仿宋_GB2312" w:cs="仿宋_GB2312" w:hint="eastAsia"/>
          <w:color w:val="000000"/>
          <w:szCs w:val="32"/>
        </w:rPr>
        <w:t>解决了临时便民市场日常管理问题。</w:t>
      </w:r>
      <w:r w:rsidRPr="003F3834">
        <w:rPr>
          <w:rFonts w:hAnsi="仿宋_GB2312" w:cs="仿宋_GB2312" w:hint="eastAsia"/>
          <w:color w:val="000000"/>
          <w:szCs w:val="32"/>
        </w:rPr>
        <w:t>第十三条</w:t>
      </w:r>
      <w:r>
        <w:rPr>
          <w:rFonts w:hAnsi="仿宋_GB2312" w:cs="仿宋_GB2312" w:hint="eastAsia"/>
          <w:color w:val="000000"/>
          <w:szCs w:val="32"/>
        </w:rPr>
        <w:t>规定，</w:t>
      </w:r>
      <w:r w:rsidRPr="003F3834">
        <w:rPr>
          <w:rFonts w:hAnsi="仿宋_GB2312" w:cs="仿宋_GB2312" w:hint="eastAsia"/>
          <w:color w:val="000000"/>
          <w:szCs w:val="32"/>
        </w:rPr>
        <w:t>占用城市道路人行道或利用财政资金设置建设的临时便民市场，由城市管理部门委托杨凌示范区市政管理服务有限公司进行日常管理。杨凌示范区市政管理服务有限公司经与入场经营者协商一</w:t>
      </w:r>
    </w:p>
    <w:p w:rsidR="003F3834" w:rsidRDefault="003F3834" w:rsidP="003F3834">
      <w:pPr>
        <w:spacing w:line="600" w:lineRule="exact"/>
        <w:ind w:firstLineChars="0" w:firstLine="0"/>
        <w:rPr>
          <w:rFonts w:hAnsi="仿宋_GB2312" w:cs="仿宋_GB2312"/>
          <w:color w:val="000000"/>
          <w:szCs w:val="32"/>
        </w:rPr>
      </w:pPr>
      <w:r w:rsidRPr="003F3834">
        <w:rPr>
          <w:rFonts w:hAnsi="仿宋_GB2312" w:cs="仿宋_GB2312" w:hint="eastAsia"/>
          <w:color w:val="000000"/>
          <w:szCs w:val="32"/>
        </w:rPr>
        <w:t>致，可适当收取管理费用。</w:t>
      </w:r>
    </w:p>
    <w:p w:rsidR="003F3834" w:rsidRPr="00A205D4" w:rsidRDefault="003F3834" w:rsidP="003F3834">
      <w:pPr>
        <w:spacing w:line="600" w:lineRule="exact"/>
        <w:ind w:firstLine="640"/>
        <w:rPr>
          <w:rFonts w:hAnsi="仿宋_GB2312" w:cs="仿宋_GB2312"/>
          <w:color w:val="000000" w:themeColor="text1"/>
          <w:szCs w:val="32"/>
        </w:rPr>
      </w:pPr>
    </w:p>
    <w:p w:rsidR="003F3834" w:rsidRPr="006426E7" w:rsidRDefault="003F3834" w:rsidP="003F3834">
      <w:pPr>
        <w:pStyle w:val="a0"/>
        <w:ind w:firstLineChars="0" w:firstLine="0"/>
      </w:pPr>
    </w:p>
    <w:p w:rsidR="00E62E25" w:rsidRDefault="000B5AB8" w:rsidP="003F3834">
      <w:pPr>
        <w:ind w:firstLine="640"/>
      </w:pPr>
    </w:p>
    <w:sectPr w:rsidR="00E62E25" w:rsidSect="00635D2B">
      <w:headerReference w:type="even" r:id="rId5"/>
      <w:headerReference w:type="default" r:id="rId6"/>
      <w:footerReference w:type="even" r:id="rId7"/>
      <w:footerReference w:type="default" r:id="rId8"/>
      <w:headerReference w:type="first" r:id="rId9"/>
      <w:footerReference w:type="first" r:id="rId10"/>
      <w:pgSz w:w="11906" w:h="16838"/>
      <w:pgMar w:top="2098" w:right="1474" w:bottom="1985" w:left="1588" w:header="709" w:footer="709"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9" w:rsidRDefault="000B5AB8" w:rsidP="002B55C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9" w:rsidRDefault="000B5AB8" w:rsidP="002B55C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9" w:rsidRDefault="000B5AB8" w:rsidP="002B55C9">
    <w:pPr>
      <w:pStyle w:val="a5"/>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9" w:rsidRDefault="000B5AB8" w:rsidP="002B55C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9" w:rsidRDefault="000B5AB8" w:rsidP="002B55C9">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9" w:rsidRDefault="000B5AB8" w:rsidP="002B55C9">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EF52D"/>
    <w:multiLevelType w:val="singleLevel"/>
    <w:tmpl w:val="371EF52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834"/>
    <w:rsid w:val="000B5AB8"/>
    <w:rsid w:val="003F3834"/>
    <w:rsid w:val="00A105F9"/>
    <w:rsid w:val="00B05A32"/>
    <w:rsid w:val="00EC6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F3834"/>
    <w:pPr>
      <w:widowControl w:val="0"/>
      <w:spacing w:line="560" w:lineRule="exact"/>
      <w:ind w:firstLineChars="200" w:firstLine="200"/>
      <w:jc w:val="both"/>
    </w:pPr>
    <w:rPr>
      <w:rFonts w:ascii="仿宋_GB2312" w:eastAsia="仿宋_GB2312" w:hAnsi="Tahoma" w:cs="Times New Roman"/>
      <w:kern w:val="0"/>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3F3834"/>
    <w:pPr>
      <w:widowControl/>
      <w:spacing w:beforeAutospacing="1" w:afterAutospacing="1"/>
      <w:jc w:val="left"/>
    </w:pPr>
    <w:rPr>
      <w:rFonts w:ascii="宋体" w:hAnsi="宋体"/>
      <w:sz w:val="24"/>
    </w:rPr>
  </w:style>
  <w:style w:type="character" w:customStyle="1" w:styleId="Char">
    <w:name w:val="正文文本 Char"/>
    <w:basedOn w:val="a1"/>
    <w:link w:val="a0"/>
    <w:uiPriority w:val="99"/>
    <w:rsid w:val="003F3834"/>
    <w:rPr>
      <w:rFonts w:ascii="宋体" w:eastAsia="仿宋_GB2312" w:hAnsi="宋体" w:cs="Times New Roman"/>
      <w:kern w:val="0"/>
      <w:sz w:val="24"/>
    </w:rPr>
  </w:style>
  <w:style w:type="paragraph" w:styleId="a4">
    <w:name w:val="header"/>
    <w:basedOn w:val="a"/>
    <w:link w:val="Char0"/>
    <w:rsid w:val="003F383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1"/>
    <w:link w:val="a4"/>
    <w:rsid w:val="003F3834"/>
    <w:rPr>
      <w:rFonts w:ascii="仿宋_GB2312" w:eastAsia="仿宋_GB2312" w:hAnsi="Tahoma" w:cs="Times New Roman"/>
      <w:kern w:val="0"/>
      <w:sz w:val="18"/>
      <w:szCs w:val="18"/>
    </w:rPr>
  </w:style>
  <w:style w:type="paragraph" w:styleId="a5">
    <w:name w:val="footer"/>
    <w:basedOn w:val="a"/>
    <w:link w:val="Char1"/>
    <w:rsid w:val="003F3834"/>
    <w:pPr>
      <w:tabs>
        <w:tab w:val="center" w:pos="4153"/>
        <w:tab w:val="right" w:pos="8306"/>
      </w:tabs>
      <w:snapToGrid w:val="0"/>
      <w:spacing w:line="240" w:lineRule="atLeast"/>
      <w:jc w:val="left"/>
    </w:pPr>
    <w:rPr>
      <w:sz w:val="18"/>
      <w:szCs w:val="18"/>
    </w:rPr>
  </w:style>
  <w:style w:type="character" w:customStyle="1" w:styleId="Char1">
    <w:name w:val="页脚 Char"/>
    <w:basedOn w:val="a1"/>
    <w:link w:val="a5"/>
    <w:rsid w:val="003F3834"/>
    <w:rPr>
      <w:rFonts w:ascii="仿宋_GB2312" w:eastAsia="仿宋_GB2312"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good</cp:lastModifiedBy>
  <cp:revision>3</cp:revision>
  <dcterms:created xsi:type="dcterms:W3CDTF">2020-11-18T02:51:00Z</dcterms:created>
  <dcterms:modified xsi:type="dcterms:W3CDTF">2020-11-18T02:58:00Z</dcterms:modified>
</cp:coreProperties>
</file>